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2118436</w:t>
      </w:r>
      <w:bookmarkStart w:id="2" w:name="_GoBack"/>
      <w:bookmarkEnd w:id="2"/>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szCs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keepNext w:val="0"/>
        <w:keepLines w:val="0"/>
        <w:pageBreakBefore w:val="0"/>
        <w:widowControl/>
        <w:kinsoku/>
        <w:wordWrap/>
        <w:overflowPunct/>
        <w:topLinePunct w:val="0"/>
        <w:autoSpaceDE/>
        <w:autoSpaceDN/>
        <w:bidi w:val="0"/>
        <w:adjustRightInd/>
        <w:snapToGrid/>
        <w:spacing w:after="120" w:line="260" w:lineRule="auto"/>
        <w:ind w:left="1769" w:hanging="1769"/>
        <w:textAlignment w:val="auto"/>
        <w:rPr>
          <w:rFonts w:hint="default" w:ascii="Arial" w:hAnsi="Arial" w:eastAsia="MS Mincho"/>
          <w:b/>
          <w:sz w:val="24"/>
          <w:lang w:val="en-US"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Discussion on power imbalance</w:t>
      </w:r>
      <w:r>
        <w:rPr>
          <w:rFonts w:hint="eastAsia" w:ascii="Arial" w:hAnsi="Arial" w:eastAsia="MS Mincho"/>
          <w:b/>
          <w:sz w:val="24"/>
          <w:lang w:eastAsia="zh-CN"/>
        </w:rPr>
        <w:t xml:space="preserve"> for </w:t>
      </w:r>
      <w:r>
        <w:rPr>
          <w:rFonts w:hint="eastAsia" w:ascii="Arial" w:hAnsi="Arial" w:eastAsia="MS Mincho"/>
          <w:b/>
          <w:sz w:val="24"/>
          <w:lang w:val="en-US" w:eastAsia="zh-CN"/>
        </w:rPr>
        <w:t>s</w:t>
      </w:r>
      <w:r>
        <w:rPr>
          <w:rFonts w:hint="eastAsia" w:ascii="Arial" w:hAnsi="Arial" w:eastAsia="MS Mincho"/>
          <w:b/>
          <w:sz w:val="24"/>
          <w:lang w:eastAsia="zh-CN"/>
        </w:rPr>
        <w:t>imultaneous operation of</w:t>
      </w:r>
      <w:r>
        <w:rPr>
          <w:rFonts w:hint="eastAsia" w:ascii="Arial" w:hAnsi="Arial" w:eastAsia="MS Mincho"/>
          <w:b/>
          <w:sz w:val="24"/>
          <w:lang w:val="en-US" w:eastAsia="zh-CN"/>
        </w:rPr>
        <w:t xml:space="preserve"> </w:t>
      </w:r>
      <w:r>
        <w:rPr>
          <w:rFonts w:hint="eastAsia" w:ascii="Arial" w:hAnsi="Arial" w:eastAsia="MS Mincho"/>
          <w:b/>
          <w:sz w:val="24"/>
          <w:lang w:eastAsia="zh-CN"/>
        </w:rPr>
        <w:t>IAB</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8.17.2.1</w:t>
      </w:r>
    </w:p>
    <w:p>
      <w:pPr>
        <w:pStyle w:val="14"/>
        <w:tabs>
          <w:tab w:val="left" w:pos="1800"/>
        </w:tabs>
        <w:snapToGrid w:val="0"/>
        <w:spacing w:after="240"/>
        <w:jc w:val="both"/>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hint="default" w:eastAsia="宋体"/>
          <w:szCs w:val="20"/>
          <w:lang w:val="en-US" w:eastAsia="zh-CN"/>
        </w:rPr>
      </w:pPr>
      <w:r>
        <w:rPr>
          <w:rFonts w:hint="eastAsia" w:eastAsia="宋体"/>
          <w:szCs w:val="20"/>
          <w:lang w:val="en-US" w:eastAsia="zh-CN"/>
        </w:rPr>
        <w:t>In this contribution, the analysis on the issue of power imbalance for simultaneous operation between child link and parent link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hint="eastAsia" w:ascii="Times New Roman" w:hAnsi="Times New Roman"/>
          <w:bCs/>
          <w:kern w:val="0"/>
          <w:sz w:val="20"/>
          <w:szCs w:val="20"/>
        </w:rPr>
      </w:pPr>
      <w:r>
        <w:rPr>
          <w:rFonts w:hint="eastAsia" w:ascii="Times New Roman" w:hAnsi="Times New Roman"/>
          <w:bCs/>
          <w:kern w:val="0"/>
          <w:sz w:val="20"/>
          <w:szCs w:val="20"/>
        </w:rPr>
        <w:t>In RAN4 #</w:t>
      </w:r>
      <w:r>
        <w:rPr>
          <w:rFonts w:hint="eastAsia" w:ascii="Times New Roman" w:hAnsi="Times New Roman"/>
          <w:bCs/>
          <w:kern w:val="0"/>
          <w:sz w:val="20"/>
          <w:szCs w:val="20"/>
          <w:lang w:val="en-US" w:eastAsia="zh-CN"/>
        </w:rPr>
        <w:t>100</w:t>
      </w:r>
      <w:r>
        <w:rPr>
          <w:rFonts w:hint="eastAsia" w:ascii="Times New Roman" w:hAnsi="Times New Roman"/>
          <w:bCs/>
          <w:kern w:val="0"/>
          <w:sz w:val="20"/>
          <w:szCs w:val="20"/>
        </w:rPr>
        <w:t>-e meeting, the issue of power imbalance was identified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rPr>
            </w:pPr>
            <w:r>
              <w:rPr>
                <w:rFonts w:hint="eastAsia" w:ascii="Times New Roman" w:hAnsi="Times New Roman"/>
                <w:bCs/>
                <w:kern w:val="0"/>
                <w:sz w:val="20"/>
                <w:szCs w:val="20"/>
                <w:vertAlign w:val="baseline"/>
              </w:rPr>
              <w:t xml:space="preserve">Way forward: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rPr>
            </w:pPr>
            <w:r>
              <w:rPr>
                <w:rFonts w:hint="eastAsia" w:ascii="Times New Roman" w:hAnsi="Times New Roman"/>
                <w:bCs/>
                <w:kern w:val="0"/>
                <w:sz w:val="20"/>
                <w:szCs w:val="20"/>
                <w:vertAlign w:val="baseline"/>
              </w:rPr>
              <w:t>RAN4 RF specification impact due to Simultaneous MT RX/DU RX for FDM operation</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rPr>
            </w:pPr>
            <w:r>
              <w:rPr>
                <w:rFonts w:hint="eastAsia" w:ascii="Times New Roman" w:hAnsi="Times New Roman"/>
                <w:bCs/>
                <w:kern w:val="0"/>
                <w:sz w:val="20"/>
                <w:szCs w:val="20"/>
                <w:vertAlign w:val="baseline"/>
              </w:rPr>
              <w:t xml:space="preserve">- No RF requirement impact for MT RX/DU RX simultaneous operation in FDM mode based on proper power control, which can ensure such operation mode will not be assumed to exceed legacy requirement (such as ACS, ICS.)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rPr>
            </w:pPr>
            <w:r>
              <w:rPr>
                <w:rFonts w:hint="eastAsia" w:ascii="Times New Roman" w:hAnsi="Times New Roman"/>
                <w:bCs/>
                <w:kern w:val="0"/>
                <w:sz w:val="20"/>
                <w:szCs w:val="20"/>
                <w:vertAlign w:val="baseline"/>
              </w:rPr>
              <w:t>- Further study on conformance testing detail on this case is not precluded in perf. part such as testability, test coverage and test configuration</w:t>
            </w:r>
          </w:p>
        </w:tc>
      </w:tr>
    </w:tbl>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 xml:space="preserve">From </w:t>
      </w:r>
      <w:r>
        <w:rPr>
          <w:rFonts w:hint="default" w:ascii="Times New Roman" w:hAnsi="Times New Roman" w:cs="Times New Roman"/>
          <w:bCs/>
          <w:kern w:val="0"/>
          <w:sz w:val="20"/>
          <w:szCs w:val="20"/>
          <w:lang w:val="en-US" w:eastAsia="zh-CN"/>
        </w:rPr>
        <w:t>our previous contribution</w:t>
      </w:r>
      <w:r>
        <w:rPr>
          <w:rFonts w:hint="default" w:ascii="Times New Roman" w:hAnsi="Times New Roman" w:cs="Times New Roman"/>
          <w:bCs/>
          <w:kern w:val="0"/>
          <w:sz w:val="20"/>
          <w:szCs w:val="20"/>
          <w:vertAlign w:val="superscript"/>
          <w:lang w:val="en-US" w:eastAsia="zh-CN"/>
        </w:rPr>
        <w:t>[2]</w:t>
      </w:r>
      <w:r>
        <w:rPr>
          <w:rFonts w:hint="default" w:ascii="Times New Roman" w:hAnsi="Times New Roman" w:cs="Times New Roman"/>
          <w:bCs/>
          <w:kern w:val="0"/>
          <w:sz w:val="20"/>
          <w:szCs w:val="20"/>
        </w:rPr>
        <w:t xml:space="preserve"> we can find that the difference of Rx power between child link and parent link is very large. So when one IAB performs simultaneous Rx from child node and parent node, the Rx power difference should be considered.</w:t>
      </w:r>
    </w:p>
    <w:p>
      <w:pPr>
        <w:pStyle w:val="29"/>
        <w:suppressAutoHyphens/>
        <w:spacing w:after="80" w:line="260" w:lineRule="auto"/>
        <w:ind w:firstLine="0" w:firstLineChars="0"/>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To determine an appropriate level for Rx power imbalance between MT and DU for simultaneous MT RX and DU RX, the BS ICS requirement could be a starting point:</w:t>
      </w:r>
    </w:p>
    <w:p>
      <w:pPr>
        <w:pStyle w:val="29"/>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FR2: e.g. around 14dBc power imbalance between interfering signal and wanted signal.</w:t>
      </w:r>
    </w:p>
    <w:p>
      <w:pPr>
        <w:pStyle w:val="29"/>
        <w:keepNext w:val="0"/>
        <w:keepLines w:val="0"/>
        <w:pageBreakBefore w:val="0"/>
        <w:widowControl w:val="0"/>
        <w:suppressAutoHyphens/>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FR1: e.g. around 25dBc power imbalance between interfering signal and wanted signal.</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default" w:ascii="Times New Roman" w:hAnsi="Times New Roman" w:cs="Times New Roman"/>
          <w:bCs/>
          <w:kern w:val="0"/>
          <w:sz w:val="20"/>
          <w:szCs w:val="20"/>
        </w:rPr>
      </w:pPr>
      <w:r>
        <w:rPr>
          <w:rFonts w:hint="default" w:ascii="Times New Roman" w:hAnsi="Times New Roman" w:cs="Times New Roman"/>
          <w:b/>
          <w:sz w:val="20"/>
          <w:szCs w:val="20"/>
          <w:lang w:eastAsia="zh-CN"/>
        </w:rPr>
        <w:t>Proposal 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The MT RX/DU RX simultaneous operation in FDM mode based on proper power control, which can ensure such operation mode will not be assumed to exceed legacy requirement of ICS</w:t>
      </w:r>
      <w:r>
        <w:rPr>
          <w:rFonts w:hint="default" w:ascii="Times New Roman" w:hAnsi="Times New Roman" w:cs="Times New Roman"/>
          <w:b/>
          <w:sz w:val="20"/>
          <w:szCs w:val="20"/>
          <w:lang w:eastAsia="zh-CN"/>
        </w:rPr>
        <w:t>.</w:t>
      </w:r>
    </w:p>
    <w:p>
      <w:pPr>
        <w:pStyle w:val="29"/>
        <w:ind w:firstLine="0" w:firstLineChars="0"/>
        <w:rPr>
          <w:rFonts w:hint="default" w:ascii="Times New Roman" w:hAnsi="Times New Roman" w:eastAsia="宋体"/>
          <w:bCs/>
          <w:kern w:val="0"/>
          <w:sz w:val="20"/>
          <w:szCs w:val="20"/>
          <w:lang w:val="en-US" w:eastAsia="zh-CN"/>
        </w:rPr>
      </w:pPr>
      <w:r>
        <w:rPr>
          <w:rFonts w:hint="eastAsia" w:ascii="Times New Roman" w:hAnsi="Times New Roman"/>
          <w:bCs/>
          <w:kern w:val="0"/>
          <w:sz w:val="20"/>
          <w:szCs w:val="20"/>
          <w:lang w:val="en-US" w:eastAsia="zh-CN"/>
        </w:rPr>
        <w:t xml:space="preserve">For </w:t>
      </w:r>
      <w:r>
        <w:rPr>
          <w:rFonts w:hint="default" w:ascii="Times New Roman" w:hAnsi="Times New Roman" w:eastAsia="宋体" w:cs="Times New Roman"/>
          <w:color w:val="000000" w:themeColor="text1"/>
          <w:sz w:val="20"/>
          <w:szCs w:val="20"/>
        </w:rPr>
        <w:t xml:space="preserve">simultaneous operation including MT TX/DU </w:t>
      </w:r>
      <w:r>
        <w:rPr>
          <w:rFonts w:hint="eastAsia" w:ascii="Times New Roman" w:hAnsi="Times New Roman" w:cs="Times New Roman"/>
          <w:color w:val="000000" w:themeColor="text1"/>
          <w:sz w:val="20"/>
          <w:szCs w:val="20"/>
          <w:lang w:val="en-US" w:eastAsia="zh-CN"/>
        </w:rPr>
        <w:t>TX, the following agreement and WF were discussed</w:t>
      </w:r>
      <w:r>
        <w:rPr>
          <w:rFonts w:hint="eastAsia" w:ascii="Times New Roman" w:hAnsi="Times New Roman" w:cs="Times New Roman"/>
          <w:color w:val="000000" w:themeColor="text1"/>
          <w:sz w:val="20"/>
          <w:szCs w:val="20"/>
          <w:vertAlign w:val="superscript"/>
          <w:lang w:val="en-US" w:eastAsia="zh-CN"/>
        </w:rPr>
        <w:t>[1]</w:t>
      </w:r>
      <w:r>
        <w:rPr>
          <w:rFonts w:hint="eastAsia" w:ascii="Times New Roman" w:hAnsi="Times New Roman" w:cs="Times New Roman"/>
          <w:color w:val="000000" w:themeColor="text1"/>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Agreement:</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No RF requirement impact identified on Rel-17 IAB simultaneous operation including MT TX/DU RX and MT RX/DU TX.</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color w:val="000000" w:themeColor="text1"/>
                <w:sz w:val="20"/>
                <w:szCs w:val="20"/>
              </w:rPr>
            </w:pPr>
            <w:r>
              <w:rPr>
                <w:rFonts w:hint="default" w:ascii="Times New Roman" w:hAnsi="Times New Roman" w:cs="Times New Roman"/>
                <w:b/>
                <w:sz w:val="20"/>
                <w:szCs w:val="20"/>
                <w:lang w:val="en-GB"/>
              </w:rPr>
              <w:t xml:space="preserve">Way forward: </w:t>
            </w:r>
            <w:r>
              <w:rPr>
                <w:rFonts w:hint="default" w:ascii="Times New Roman" w:hAnsi="Times New Roman" w:eastAsia="宋体" w:cs="Times New Roman"/>
                <w:b/>
                <w:color w:val="000000" w:themeColor="text1"/>
                <w:sz w:val="20"/>
                <w:szCs w:val="20"/>
              </w:rPr>
              <w:t xml:space="preserve"> </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u w:val="single"/>
                <w:lang w:eastAsia="ko-KR"/>
              </w:rPr>
            </w:pPr>
            <w:r>
              <w:rPr>
                <w:rFonts w:hint="default" w:ascii="Times New Roman" w:hAnsi="Times New Roman" w:cs="Times New Roman"/>
                <w:sz w:val="20"/>
                <w:szCs w:val="20"/>
                <w:u w:val="single"/>
                <w:lang w:eastAsia="ko-KR"/>
              </w:rPr>
              <w:t>RAN4 RF specification impact due to Simultaneous MT TX/DU TX for FDM operation</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No RF core requirement impact for MT TX/DU TX simultaneous operation in FDM mode  in point of view of coexistence between IAB and existing NR network</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There is no need for additional coexistence simulation.</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lang w:val="en-US"/>
              </w:rPr>
            </w:pPr>
            <w:r>
              <w:rPr>
                <w:rFonts w:hint="default" w:ascii="Times New Roman" w:hAnsi="Times New Roman" w:eastAsia="宋体" w:cs="Times New Roman"/>
                <w:color w:val="000000" w:themeColor="text1"/>
                <w:sz w:val="20"/>
                <w:szCs w:val="20"/>
              </w:rPr>
              <w:t>No additional effort is needed on RF impact except issues listed below</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lang w:val="en-US"/>
              </w:rPr>
            </w:pPr>
            <w:r>
              <w:rPr>
                <w:rFonts w:hint="default" w:ascii="Times New Roman" w:hAnsi="Times New Roman" w:eastAsia="宋体" w:cs="Times New Roman"/>
                <w:color w:val="000000" w:themeColor="text1"/>
                <w:sz w:val="20"/>
                <w:szCs w:val="20"/>
                <w:lang w:val="en-US"/>
              </w:rPr>
              <w:t>FFS on intra-node (i.e. transmissions from the same node interfering each other) interference considering MT/DU simultaneous transmission operation with unbalanced transmitting power with below cases:</w:t>
            </w:r>
          </w:p>
          <w:p>
            <w:pPr>
              <w:pStyle w:val="29"/>
              <w:keepNext w:val="0"/>
              <w:keepLines w:val="0"/>
              <w:pageBreakBefore w:val="0"/>
              <w:kinsoku/>
              <w:wordWrap/>
              <w:overflowPunct/>
              <w:topLinePunct w:val="0"/>
              <w:autoSpaceDE/>
              <w:autoSpaceDN/>
              <w:bidi w:val="0"/>
              <w:adjustRightInd w:val="0"/>
              <w:snapToGrid w:val="0"/>
              <w:spacing w:after="0" w:line="240" w:lineRule="auto"/>
              <w:ind w:left="1680"/>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 xml:space="preserve">Case 1: MT and DU using the same antenna panel </w:t>
            </w:r>
          </w:p>
          <w:p>
            <w:pPr>
              <w:pStyle w:val="29"/>
              <w:keepNext w:val="0"/>
              <w:keepLines w:val="0"/>
              <w:pageBreakBefore w:val="0"/>
              <w:kinsoku/>
              <w:wordWrap/>
              <w:overflowPunct/>
              <w:topLinePunct w:val="0"/>
              <w:autoSpaceDE/>
              <w:autoSpaceDN/>
              <w:bidi w:val="0"/>
              <w:adjustRightInd w:val="0"/>
              <w:snapToGrid w:val="0"/>
              <w:spacing w:after="0" w:line="240" w:lineRule="auto"/>
              <w:ind w:left="1680"/>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Case 2: MT and DU using different antenna panes</w:t>
            </w:r>
          </w:p>
          <w:p>
            <w:pPr>
              <w:pStyle w:val="29"/>
              <w:keepNext w:val="0"/>
              <w:keepLines w:val="0"/>
              <w:pageBreakBefore w:val="0"/>
              <w:kinsoku/>
              <w:wordWrap/>
              <w:overflowPunct/>
              <w:topLinePunct w:val="0"/>
              <w:autoSpaceDE/>
              <w:autoSpaceDN/>
              <w:bidi w:val="0"/>
              <w:adjustRightInd w:val="0"/>
              <w:snapToGrid w:val="0"/>
              <w:spacing w:after="0" w:line="240" w:lineRule="auto"/>
              <w:ind w:left="1680"/>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Case 3: other possibility is not excluded.</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lang w:val="en-US"/>
              </w:rPr>
            </w:pPr>
            <w:r>
              <w:rPr>
                <w:rFonts w:hint="default" w:ascii="Times New Roman" w:hAnsi="Times New Roman" w:eastAsia="宋体" w:cs="Times New Roman"/>
                <w:color w:val="000000" w:themeColor="text1"/>
                <w:sz w:val="20"/>
                <w:szCs w:val="20"/>
                <w:lang w:val="en-US"/>
              </w:rPr>
              <w:t>Based on the investigation of the intra-node (i.e. transmissions from the same node interfering each other) interference, RAN4 could decide whether exception on unwanted emission or restriction on scenario can be addressed in core spec, conformance spec or TR with below options</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Option 1: exception on unwanted emission: EVM, relative and absolute ACLR are not applied for power controlled link</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Option 2:  restriction on scenario: FDM operation with shared beam case is assumed/considered for the same class and/or similar power capability between IAB-DU and IAB-MT only in RAN4 spec.</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Option 3: other options are not excluded.</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color w:val="000000" w:themeColor="text1"/>
                <w:sz w:val="20"/>
                <w:szCs w:val="20"/>
              </w:rPr>
            </w:pPr>
            <w:r>
              <w:rPr>
                <w:rFonts w:hint="default" w:ascii="Times New Roman" w:hAnsi="Times New Roman" w:eastAsia="宋体" w:cs="Times New Roman"/>
                <w:color w:val="000000" w:themeColor="text1"/>
                <w:sz w:val="20"/>
                <w:szCs w:val="20"/>
              </w:rPr>
              <w:t xml:space="preserve">Further study on conformance testing detail on this case is not precluded in perf. part such as testability, test coverage and test configuration </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For simultaneous MT-TX/DU-TX, the difference of power from DU and MT should be in reasonable range to avoid the weaker one to be interfered by the stronger one.</w:t>
      </w:r>
    </w:p>
    <w:p>
      <w:pPr>
        <w:pStyle w:val="29"/>
        <w:ind w:firstLine="0" w:firstLineChars="0"/>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RAN1 has been discussing solutions on how to mitigate the power imbalance between MT UL TX and DU DL TX and the agreement in RAN1# 106-e meeting is as below</w:t>
      </w:r>
      <w:r>
        <w:rPr>
          <w:rFonts w:hint="default" w:ascii="Times New Roman" w:hAnsi="Times New Roman" w:cs="Times New Roman"/>
          <w:bCs/>
          <w:kern w:val="0"/>
          <w:sz w:val="20"/>
          <w:szCs w:val="20"/>
          <w:vertAlign w:val="superscript"/>
          <w:lang w:val="en-US" w:eastAsia="zh-CN"/>
        </w:rPr>
        <w:t>[3]</w:t>
      </w:r>
      <w:r>
        <w:rPr>
          <w:rFonts w:hint="default" w:ascii="Times New Roman" w:hAnsi="Times New Roman" w:cs="Times New Roman"/>
          <w:bCs/>
          <w:kern w:val="0"/>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eastAsia="Malgun Gothic" w:cs="Times New Roman"/>
                <w:b/>
                <w:bCs/>
                <w:color w:val="000000"/>
                <w:sz w:val="20"/>
                <w:szCs w:val="20"/>
                <w:lang w:eastAsia="ko-KR"/>
              </w:rPr>
            </w:pPr>
            <w:r>
              <w:rPr>
                <w:rFonts w:hint="default" w:ascii="Times New Roman" w:hAnsi="Times New Roman" w:cs="Times New Roman"/>
                <w:b/>
                <w:bCs/>
                <w:color w:val="000000"/>
                <w:sz w:val="20"/>
                <w:szCs w:val="20"/>
                <w:highlight w:val="green"/>
              </w:rPr>
              <w:t>Agreement</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Cs/>
                <w:color w:val="000000"/>
                <w:sz w:val="20"/>
                <w:szCs w:val="20"/>
                <w:lang w:val="en-US"/>
              </w:rPr>
            </w:pPr>
            <w:r>
              <w:rPr>
                <w:rFonts w:hint="default" w:ascii="Times New Roman" w:hAnsi="Times New Roman" w:cs="Times New Roman"/>
                <w:bCs/>
                <w:color w:val="000000"/>
                <w:sz w:val="20"/>
                <w:szCs w:val="20"/>
              </w:rPr>
              <w:t>Support an IAB-node indicating its desired IAB-MT PSD range to help with its MT’s UL TX power control.</w:t>
            </w:r>
          </w:p>
          <w:p>
            <w:pPr>
              <w:pStyle w:val="29"/>
              <w:keepNext w:val="0"/>
              <w:keepLines w:val="0"/>
              <w:pageBreakBefore w:val="0"/>
              <w:numPr>
                <w:ilvl w:val="0"/>
                <w:numId w:val="5"/>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bCs/>
                <w:color w:val="595959"/>
                <w:sz w:val="20"/>
                <w:szCs w:val="20"/>
              </w:rPr>
            </w:pPr>
            <w:r>
              <w:rPr>
                <w:rFonts w:hint="default" w:ascii="Times New Roman" w:hAnsi="Times New Roman" w:cs="Times New Roman"/>
                <w:bCs/>
                <w:sz w:val="20"/>
                <w:szCs w:val="20"/>
              </w:rPr>
              <w:t>This information is provided to the parent node</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FFS: Applicability of assistance information, e.g., per multiplexing scenario, per resource, etc.</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Cs/>
                <w:kern w:val="0"/>
                <w:sz w:val="20"/>
                <w:szCs w:val="20"/>
                <w:vertAlign w:val="baseline"/>
                <w:lang w:val="en-US" w:eastAsia="zh-CN"/>
              </w:rPr>
            </w:pPr>
            <w:r>
              <w:rPr>
                <w:rFonts w:hint="default" w:ascii="Times New Roman" w:hAnsi="Times New Roman" w:cs="Times New Roman"/>
                <w:bCs/>
                <w:color w:val="000000"/>
                <w:sz w:val="20"/>
                <w:szCs w:val="20"/>
              </w:rPr>
              <w:t>FFS: Signalling details, including the possibility to extend PHR.</w:t>
            </w:r>
          </w:p>
        </w:tc>
      </w:tr>
    </w:tbl>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 xml:space="preserve">In RAN4# 100-e meeting, the issue of power difference between MT and DU is divided into 2 cases. For case 1, we think option 2 is preferred because introducing exception may have impacts on performance. For case 2, we think </w:t>
      </w:r>
      <w:r>
        <w:rPr>
          <w:rFonts w:hint="default" w:ascii="Times New Roman" w:hAnsi="Times New Roman" w:cs="Times New Roman"/>
          <w:bCs/>
          <w:i/>
          <w:iCs/>
          <w:kern w:val="0"/>
          <w:sz w:val="20"/>
          <w:szCs w:val="20"/>
          <w:lang w:val="en-US" w:eastAsia="zh-CN"/>
        </w:rPr>
        <w:t>Intra-system minimum requirements</w:t>
      </w:r>
      <w:r>
        <w:rPr>
          <w:rFonts w:hint="default" w:ascii="Times New Roman" w:hAnsi="Times New Roman" w:cs="Times New Roman"/>
          <w:bCs/>
          <w:kern w:val="0"/>
          <w:sz w:val="20"/>
          <w:szCs w:val="20"/>
          <w:lang w:val="en-US" w:eastAsia="zh-CN"/>
        </w:rPr>
        <w:t xml:space="preserve"> can be considered as </w:t>
      </w:r>
      <w:r>
        <w:rPr>
          <w:rFonts w:hint="eastAsia" w:ascii="Times New Roman" w:hAnsi="Times New Roman" w:cs="Times New Roman"/>
          <w:bCs/>
          <w:kern w:val="0"/>
          <w:sz w:val="20"/>
          <w:szCs w:val="20"/>
          <w:lang w:val="en-US" w:eastAsia="zh-CN"/>
        </w:rPr>
        <w:t>a</w:t>
      </w:r>
      <w:r>
        <w:rPr>
          <w:rFonts w:hint="default" w:ascii="Times New Roman" w:hAnsi="Times New Roman" w:cs="Times New Roman"/>
          <w:bCs/>
          <w:kern w:val="0"/>
          <w:sz w:val="20"/>
          <w:szCs w:val="20"/>
          <w:lang w:val="en-US" w:eastAsia="zh-CN"/>
        </w:rPr>
        <w:t xml:space="preserve"> baseline or </w:t>
      </w:r>
      <w:r>
        <w:rPr>
          <w:rFonts w:hint="eastAsia" w:ascii="Times New Roman" w:hAnsi="Times New Roman" w:cs="Times New Roman"/>
          <w:bCs/>
          <w:kern w:val="0"/>
          <w:sz w:val="20"/>
          <w:szCs w:val="20"/>
          <w:lang w:val="en-US" w:eastAsia="zh-CN"/>
        </w:rPr>
        <w:t xml:space="preserve">a </w:t>
      </w:r>
      <w:r>
        <w:rPr>
          <w:rFonts w:hint="default" w:ascii="Times New Roman" w:hAnsi="Times New Roman" w:cs="Times New Roman"/>
          <w:bCs/>
          <w:kern w:val="0"/>
          <w:sz w:val="20"/>
          <w:szCs w:val="20"/>
          <w:lang w:val="en-US" w:eastAsia="zh-CN"/>
        </w:rPr>
        <w:t>start point.</w:t>
      </w:r>
    </w:p>
    <w:p>
      <w:pPr>
        <w:pStyle w:val="29"/>
        <w:ind w:firstLine="0" w:firstLineChars="0"/>
        <w:rPr>
          <w:rFonts w:hint="default" w:ascii="Times New Roman" w:hAnsi="Times New Roman" w:cs="Times New Roman"/>
          <w:bCs/>
          <w:kern w:val="0"/>
          <w:sz w:val="20"/>
          <w:szCs w:val="20"/>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2</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 xml:space="preserve">Intra-system minimum requirements </w:t>
      </w:r>
      <w:r>
        <w:rPr>
          <w:rFonts w:hint="eastAsia" w:ascii="Times New Roman" w:hAnsi="Times New Roman" w:cs="Times New Roman"/>
          <w:b/>
          <w:sz w:val="20"/>
          <w:szCs w:val="20"/>
          <w:lang w:val="en-US" w:eastAsia="zh-CN"/>
        </w:rPr>
        <w:t>can be a</w:t>
      </w:r>
      <w:r>
        <w:rPr>
          <w:rFonts w:hint="default" w:ascii="Times New Roman" w:hAnsi="Times New Roman" w:cs="Times New Roman"/>
          <w:b/>
          <w:sz w:val="20"/>
          <w:szCs w:val="20"/>
          <w:lang w:val="en-US" w:eastAsia="zh-CN"/>
        </w:rPr>
        <w:t xml:space="preserve"> baseline or start point for case 2, and option 2 is preferred for case 1</w:t>
      </w:r>
      <w:r>
        <w:rPr>
          <w:rFonts w:hint="default" w:ascii="Times New Roman" w:hAnsi="Times New Roman" w:cs="Times New Roman"/>
          <w:b/>
          <w:sz w:val="20"/>
          <w:szCs w:val="20"/>
          <w:lang w:eastAsia="zh-CN"/>
        </w:rPr>
        <w: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Conclusion</w:t>
      </w:r>
    </w:p>
    <w:p>
      <w:pPr>
        <w:suppressAutoHyphens/>
        <w:spacing w:after="80" w:line="260" w:lineRule="auto"/>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Based on the analysis, the following observation and proposal are given:</w:t>
      </w:r>
    </w:p>
    <w:p>
      <w:pPr>
        <w:pStyle w:val="29"/>
        <w:ind w:firstLine="0" w:firstLineChars="0"/>
        <w:rPr>
          <w:rFonts w:hint="default" w:ascii="Times New Roman" w:hAnsi="Times New Roman" w:cs="Times New Roman"/>
          <w:bCs/>
          <w:kern w:val="0"/>
          <w:sz w:val="20"/>
          <w:szCs w:val="20"/>
        </w:rPr>
      </w:pPr>
      <w:r>
        <w:rPr>
          <w:rFonts w:hint="default" w:ascii="Times New Roman" w:hAnsi="Times New Roman" w:cs="Times New Roman"/>
          <w:b/>
          <w:sz w:val="20"/>
          <w:szCs w:val="20"/>
          <w:lang w:eastAsia="zh-CN"/>
        </w:rPr>
        <w:t>Proposal 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The MT RX/DU RX simultaneous operation in FDM mode based on proper power control, which can ensure such operation mode will not be assumed to exceed legacy requirement of ICS</w:t>
      </w:r>
      <w:r>
        <w:rPr>
          <w:rFonts w:hint="default" w:ascii="Times New Roman" w:hAnsi="Times New Roman" w:cs="Times New Roman"/>
          <w:b/>
          <w:sz w:val="20"/>
          <w:szCs w:val="20"/>
          <w:lang w:eastAsia="zh-CN"/>
        </w:rPr>
        <w:t>.</w:t>
      </w:r>
    </w:p>
    <w:p>
      <w:pPr>
        <w:pStyle w:val="29"/>
        <w:ind w:firstLine="0" w:firstLineChars="0"/>
        <w:rPr>
          <w:rFonts w:hint="eastAsia" w:ascii="Times New Roman" w:hAnsi="Times New Roman"/>
          <w:bCs/>
          <w:kern w:val="0"/>
          <w:sz w:val="20"/>
          <w:szCs w:val="20"/>
          <w:lang w:val="en-US" w:eastAsia="zh-CN"/>
        </w:rPr>
      </w:pPr>
      <w:r>
        <w:rPr>
          <w:rFonts w:hint="default" w:ascii="Times New Roman" w:hAnsi="Times New Roman" w:cs="Times New Roman"/>
          <w:b/>
          <w:sz w:val="20"/>
          <w:szCs w:val="20"/>
          <w:lang w:eastAsia="zh-CN"/>
        </w:rPr>
        <w:t xml:space="preserve">Proposal </w:t>
      </w:r>
      <w:r>
        <w:rPr>
          <w:rFonts w:hint="default" w:ascii="Times New Roman" w:hAnsi="Times New Roman" w:cs="Times New Roman"/>
          <w:b/>
          <w:sz w:val="20"/>
          <w:szCs w:val="20"/>
          <w:lang w:val="en-US" w:eastAsia="zh-CN"/>
        </w:rPr>
        <w:t>2</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 xml:space="preserve">Intra-system minimum requirements </w:t>
      </w:r>
      <w:r>
        <w:rPr>
          <w:rFonts w:hint="eastAsia" w:ascii="Times New Roman" w:hAnsi="Times New Roman" w:cs="Times New Roman"/>
          <w:b/>
          <w:sz w:val="20"/>
          <w:szCs w:val="20"/>
          <w:lang w:val="en-US" w:eastAsia="zh-CN"/>
        </w:rPr>
        <w:t>can be a</w:t>
      </w:r>
      <w:r>
        <w:rPr>
          <w:rFonts w:hint="default" w:ascii="Times New Roman" w:hAnsi="Times New Roman" w:cs="Times New Roman"/>
          <w:b/>
          <w:sz w:val="20"/>
          <w:szCs w:val="20"/>
          <w:lang w:val="en-US" w:eastAsia="zh-CN"/>
        </w:rPr>
        <w:t xml:space="preserve"> baseline or start point for case 2, and option 2 is preferred for case 1</w:t>
      </w:r>
      <w:r>
        <w:rPr>
          <w:rFonts w:hint="default" w:ascii="Times New Roman" w:hAnsi="Times New Roman" w:cs="Times New Roman"/>
          <w:b/>
          <w:sz w:val="20"/>
          <w:szCs w:val="20"/>
          <w:lang w:eastAsia="zh-CN"/>
        </w:rPr>
        <w:t>.</w:t>
      </w:r>
    </w:p>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 </w:t>
      </w:r>
    </w:p>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bCs/>
          <w:kern w:val="0"/>
          <w:sz w:val="20"/>
          <w:szCs w:val="20"/>
          <w:lang w:val="en-US" w:eastAsia="zh-CN"/>
        </w:rPr>
      </w:pPr>
    </w:p>
    <w:p>
      <w:pPr>
        <w:pStyle w:val="29"/>
        <w:ind w:firstLine="0" w:firstLineChars="0"/>
        <w:rPr>
          <w:rFonts w:hint="default" w:ascii="Times New Roman" w:hAnsi="Times New Roman"/>
          <w:bCs/>
          <w:kern w:val="0"/>
          <w:sz w:val="20"/>
          <w:szCs w:val="20"/>
          <w:lang w:val="en-US" w:eastAsia="zh-CN"/>
        </w:rPr>
      </w:pPr>
    </w:p>
    <w:p>
      <w:pPr>
        <w:pStyle w:val="29"/>
        <w:ind w:firstLine="0" w:firstLineChars="0"/>
        <w:rPr>
          <w:rFonts w:hint="default" w:ascii="Times New Roman" w:hAnsi="Times New Roman"/>
          <w:bCs/>
          <w:kern w:val="0"/>
          <w:sz w:val="20"/>
          <w:szCs w:val="20"/>
          <w:lang w:val="en-US" w:eastAsia="zh-CN"/>
        </w:rPr>
      </w:pPr>
    </w:p>
    <w:p>
      <w:pPr>
        <w:pStyle w:val="29"/>
        <w:ind w:firstLine="0" w:firstLineChars="0"/>
        <w:rPr>
          <w:rFonts w:hint="default" w:ascii="Times New Roman" w:hAnsi="Times New Roman"/>
          <w:bCs/>
          <w:kern w:val="0"/>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R4-2115645_eIAB WF_06_clean</w:t>
      </w:r>
    </w:p>
    <w:p>
      <w:pPr>
        <w:pStyle w:val="9"/>
        <w:rPr>
          <w:sz w:val="20"/>
          <w:szCs w:val="20"/>
        </w:rPr>
      </w:pPr>
      <w:r>
        <w:rPr>
          <w:rFonts w:hint="eastAsia"/>
          <w:sz w:val="20"/>
          <w:szCs w:val="20"/>
        </w:rPr>
        <w:t>R4-2113198 Simultaneous operation of IAB child and parent links</w:t>
      </w:r>
    </w:p>
    <w:p>
      <w:pPr>
        <w:pStyle w:val="9"/>
        <w:rPr>
          <w:sz w:val="20"/>
          <w:szCs w:val="20"/>
        </w:rPr>
      </w:pPr>
      <w:r>
        <w:rPr>
          <w:rFonts w:hint="eastAsia"/>
          <w:sz w:val="20"/>
          <w:szCs w:val="20"/>
        </w:rPr>
        <w:t>Chair's Notes RAN1#106-e v24.doc</w:t>
      </w:r>
    </w:p>
    <w:p>
      <w:pPr>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A18796D"/>
    <w:multiLevelType w:val="multilevel"/>
    <w:tmpl w:val="3A18796D"/>
    <w:lvl w:ilvl="0" w:tentative="0">
      <w:start w:val="2018"/>
      <w:numFmt w:val="bullet"/>
      <w:lvlText w:val="-"/>
      <w:lvlJc w:val="left"/>
      <w:pPr>
        <w:ind w:left="840" w:hanging="420"/>
      </w:pPr>
      <w:rPr>
        <w:rFonts w:hint="default" w:ascii="Arial" w:hAnsi="Arial" w:eastAsia="Times New Roman"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C313F1E"/>
    <w:multiLevelType w:val="multilevel"/>
    <w:tmpl w:val="7C313F1E"/>
    <w:lvl w:ilvl="0" w:tentative="0">
      <w:start w:val="0"/>
      <w:numFmt w:val="bullet"/>
      <w:lvlText w:val="-"/>
      <w:lvlJc w:val="left"/>
      <w:pPr>
        <w:ind w:left="720" w:hanging="360"/>
      </w:pPr>
      <w:rPr>
        <w:rFonts w:hint="default" w:ascii="Calibri" w:hAnsi="Calibri" w:eastAsia="MS PGothic" w:cs="Calibri"/>
        <w: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70E1A"/>
    <w:rsid w:val="02855540"/>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9294F7D"/>
    <w:rsid w:val="09674661"/>
    <w:rsid w:val="097E672F"/>
    <w:rsid w:val="09825F02"/>
    <w:rsid w:val="09AB6C45"/>
    <w:rsid w:val="09E20449"/>
    <w:rsid w:val="0A2802DC"/>
    <w:rsid w:val="0A731B50"/>
    <w:rsid w:val="0B802D0D"/>
    <w:rsid w:val="0BC176FB"/>
    <w:rsid w:val="0BF41031"/>
    <w:rsid w:val="0C953742"/>
    <w:rsid w:val="0CA242EA"/>
    <w:rsid w:val="0D613BA3"/>
    <w:rsid w:val="0D744565"/>
    <w:rsid w:val="0D7F564D"/>
    <w:rsid w:val="0D835665"/>
    <w:rsid w:val="0DE052FE"/>
    <w:rsid w:val="0E3330D0"/>
    <w:rsid w:val="0ECE66B5"/>
    <w:rsid w:val="0F11785B"/>
    <w:rsid w:val="0F21557B"/>
    <w:rsid w:val="0F372967"/>
    <w:rsid w:val="0FDA7DDA"/>
    <w:rsid w:val="0FFA1150"/>
    <w:rsid w:val="112D72C6"/>
    <w:rsid w:val="113F3856"/>
    <w:rsid w:val="11A50508"/>
    <w:rsid w:val="120639A8"/>
    <w:rsid w:val="125D4125"/>
    <w:rsid w:val="12AE4121"/>
    <w:rsid w:val="13583391"/>
    <w:rsid w:val="137F4008"/>
    <w:rsid w:val="13F672DD"/>
    <w:rsid w:val="140C5848"/>
    <w:rsid w:val="141B497D"/>
    <w:rsid w:val="144E5CD4"/>
    <w:rsid w:val="15220493"/>
    <w:rsid w:val="158F210D"/>
    <w:rsid w:val="15E12A88"/>
    <w:rsid w:val="15E95672"/>
    <w:rsid w:val="16271D63"/>
    <w:rsid w:val="167A7800"/>
    <w:rsid w:val="16BD2FB9"/>
    <w:rsid w:val="16E7731D"/>
    <w:rsid w:val="179855D1"/>
    <w:rsid w:val="17A613DC"/>
    <w:rsid w:val="19607D81"/>
    <w:rsid w:val="199503FD"/>
    <w:rsid w:val="19AF5CF6"/>
    <w:rsid w:val="19F256A0"/>
    <w:rsid w:val="1A3F5603"/>
    <w:rsid w:val="1A5E3373"/>
    <w:rsid w:val="1AA54D0B"/>
    <w:rsid w:val="1B3C4343"/>
    <w:rsid w:val="1B870B5B"/>
    <w:rsid w:val="1BBC09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95BBB"/>
    <w:rsid w:val="1F7C7957"/>
    <w:rsid w:val="1FD21E35"/>
    <w:rsid w:val="1FD96681"/>
    <w:rsid w:val="1FE10390"/>
    <w:rsid w:val="1FEE7A9C"/>
    <w:rsid w:val="200E58BD"/>
    <w:rsid w:val="205164A7"/>
    <w:rsid w:val="2090238B"/>
    <w:rsid w:val="20A434B3"/>
    <w:rsid w:val="20BA6502"/>
    <w:rsid w:val="216D7544"/>
    <w:rsid w:val="21B80AA5"/>
    <w:rsid w:val="221703FC"/>
    <w:rsid w:val="225216B5"/>
    <w:rsid w:val="22B37446"/>
    <w:rsid w:val="235408E6"/>
    <w:rsid w:val="23FD5BE3"/>
    <w:rsid w:val="24386853"/>
    <w:rsid w:val="24715F69"/>
    <w:rsid w:val="24B140D4"/>
    <w:rsid w:val="24C569C9"/>
    <w:rsid w:val="24F907DC"/>
    <w:rsid w:val="250D35C2"/>
    <w:rsid w:val="252A03F9"/>
    <w:rsid w:val="25EF43C8"/>
    <w:rsid w:val="262E08BF"/>
    <w:rsid w:val="263951B2"/>
    <w:rsid w:val="263E55AD"/>
    <w:rsid w:val="264B37D3"/>
    <w:rsid w:val="27930B1B"/>
    <w:rsid w:val="283146AB"/>
    <w:rsid w:val="288C6204"/>
    <w:rsid w:val="28A96A0F"/>
    <w:rsid w:val="28DD5033"/>
    <w:rsid w:val="28EE7A07"/>
    <w:rsid w:val="291F3AAD"/>
    <w:rsid w:val="29CD4516"/>
    <w:rsid w:val="2A1E2DE0"/>
    <w:rsid w:val="2A7049D1"/>
    <w:rsid w:val="2AB04251"/>
    <w:rsid w:val="2ABE7215"/>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CB7AE0"/>
    <w:rsid w:val="2F0E5D72"/>
    <w:rsid w:val="2F235269"/>
    <w:rsid w:val="2F322289"/>
    <w:rsid w:val="2F4B1C2D"/>
    <w:rsid w:val="30571C73"/>
    <w:rsid w:val="30943D7F"/>
    <w:rsid w:val="309460D4"/>
    <w:rsid w:val="309C7501"/>
    <w:rsid w:val="30A819D5"/>
    <w:rsid w:val="313A0372"/>
    <w:rsid w:val="316C26E3"/>
    <w:rsid w:val="31B6217A"/>
    <w:rsid w:val="32305666"/>
    <w:rsid w:val="328D4D87"/>
    <w:rsid w:val="32987EA1"/>
    <w:rsid w:val="32EC2013"/>
    <w:rsid w:val="33021368"/>
    <w:rsid w:val="33133DBA"/>
    <w:rsid w:val="33491F36"/>
    <w:rsid w:val="33883009"/>
    <w:rsid w:val="339B125F"/>
    <w:rsid w:val="346C2BDC"/>
    <w:rsid w:val="34E63221"/>
    <w:rsid w:val="34EA3595"/>
    <w:rsid w:val="34F31159"/>
    <w:rsid w:val="34F61BA3"/>
    <w:rsid w:val="35684E72"/>
    <w:rsid w:val="35D34EB8"/>
    <w:rsid w:val="361A0DD1"/>
    <w:rsid w:val="363A75C1"/>
    <w:rsid w:val="368E7AA5"/>
    <w:rsid w:val="36950F43"/>
    <w:rsid w:val="36F13745"/>
    <w:rsid w:val="37235D83"/>
    <w:rsid w:val="386C1CFB"/>
    <w:rsid w:val="388C38C8"/>
    <w:rsid w:val="388E6306"/>
    <w:rsid w:val="3891144C"/>
    <w:rsid w:val="38E40513"/>
    <w:rsid w:val="38F275EB"/>
    <w:rsid w:val="393853EE"/>
    <w:rsid w:val="39474FFC"/>
    <w:rsid w:val="39A12E64"/>
    <w:rsid w:val="39E551C2"/>
    <w:rsid w:val="3A280D85"/>
    <w:rsid w:val="3A985F9F"/>
    <w:rsid w:val="3ABE7AAF"/>
    <w:rsid w:val="3ACA79CB"/>
    <w:rsid w:val="3ACD696C"/>
    <w:rsid w:val="3B1D04C9"/>
    <w:rsid w:val="3B564493"/>
    <w:rsid w:val="3B68666D"/>
    <w:rsid w:val="3B924465"/>
    <w:rsid w:val="3BA94452"/>
    <w:rsid w:val="3BF1611F"/>
    <w:rsid w:val="3C031B6A"/>
    <w:rsid w:val="3C8B2EA4"/>
    <w:rsid w:val="3CA02F85"/>
    <w:rsid w:val="3CB6404C"/>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8F7478"/>
    <w:rsid w:val="40C765F3"/>
    <w:rsid w:val="41071BAC"/>
    <w:rsid w:val="41256FB7"/>
    <w:rsid w:val="4154071D"/>
    <w:rsid w:val="42AE14DC"/>
    <w:rsid w:val="42C843A0"/>
    <w:rsid w:val="42F20CDD"/>
    <w:rsid w:val="43776349"/>
    <w:rsid w:val="43A46A86"/>
    <w:rsid w:val="43EE5166"/>
    <w:rsid w:val="44B2766E"/>
    <w:rsid w:val="44C82F04"/>
    <w:rsid w:val="453D01E5"/>
    <w:rsid w:val="45834801"/>
    <w:rsid w:val="458F4D24"/>
    <w:rsid w:val="459C5BD8"/>
    <w:rsid w:val="45B01F58"/>
    <w:rsid w:val="45ED56E7"/>
    <w:rsid w:val="45F60A50"/>
    <w:rsid w:val="465B1E86"/>
    <w:rsid w:val="46C6208F"/>
    <w:rsid w:val="480D1C87"/>
    <w:rsid w:val="482C6CD1"/>
    <w:rsid w:val="4853345A"/>
    <w:rsid w:val="48845C84"/>
    <w:rsid w:val="489C44D3"/>
    <w:rsid w:val="48F82FC3"/>
    <w:rsid w:val="490D3059"/>
    <w:rsid w:val="49500FEB"/>
    <w:rsid w:val="4982678C"/>
    <w:rsid w:val="49F32E1B"/>
    <w:rsid w:val="49FF1C1E"/>
    <w:rsid w:val="4A0B7057"/>
    <w:rsid w:val="4A280667"/>
    <w:rsid w:val="4A511B6E"/>
    <w:rsid w:val="4A7C4548"/>
    <w:rsid w:val="4B5B5B93"/>
    <w:rsid w:val="4B901389"/>
    <w:rsid w:val="4BFE2AE1"/>
    <w:rsid w:val="4C2C30BE"/>
    <w:rsid w:val="4C3A2A9D"/>
    <w:rsid w:val="4C5D2EB7"/>
    <w:rsid w:val="4C8D7B0E"/>
    <w:rsid w:val="4CBF03D6"/>
    <w:rsid w:val="4D014AEF"/>
    <w:rsid w:val="4D1E3273"/>
    <w:rsid w:val="4D513299"/>
    <w:rsid w:val="4DA22392"/>
    <w:rsid w:val="4DBE5704"/>
    <w:rsid w:val="4DF96CBC"/>
    <w:rsid w:val="4E4C233E"/>
    <w:rsid w:val="4E9A7FF9"/>
    <w:rsid w:val="4EDA7726"/>
    <w:rsid w:val="4EDF702E"/>
    <w:rsid w:val="4EF148C1"/>
    <w:rsid w:val="4F047884"/>
    <w:rsid w:val="4F186AC1"/>
    <w:rsid w:val="4F1D2219"/>
    <w:rsid w:val="4F813AF7"/>
    <w:rsid w:val="4FBD6EC5"/>
    <w:rsid w:val="4FBF1AB2"/>
    <w:rsid w:val="50150A2D"/>
    <w:rsid w:val="504E5AC6"/>
    <w:rsid w:val="505076EF"/>
    <w:rsid w:val="505F3BD5"/>
    <w:rsid w:val="507820B7"/>
    <w:rsid w:val="508A0B34"/>
    <w:rsid w:val="509A0302"/>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3C5184"/>
    <w:rsid w:val="565631F5"/>
    <w:rsid w:val="56C44CD3"/>
    <w:rsid w:val="581B09AF"/>
    <w:rsid w:val="582E227B"/>
    <w:rsid w:val="583C79A9"/>
    <w:rsid w:val="58983966"/>
    <w:rsid w:val="589E3B99"/>
    <w:rsid w:val="589F3533"/>
    <w:rsid w:val="593261D2"/>
    <w:rsid w:val="59423730"/>
    <w:rsid w:val="595A6E9E"/>
    <w:rsid w:val="5A8F1C82"/>
    <w:rsid w:val="5AA04D8D"/>
    <w:rsid w:val="5AFF5DE6"/>
    <w:rsid w:val="5B4026E8"/>
    <w:rsid w:val="5B482E24"/>
    <w:rsid w:val="5C9A4DB7"/>
    <w:rsid w:val="5D1A39EE"/>
    <w:rsid w:val="5D5C7688"/>
    <w:rsid w:val="5D844DB8"/>
    <w:rsid w:val="5DEF6B62"/>
    <w:rsid w:val="5E224225"/>
    <w:rsid w:val="5E2732CD"/>
    <w:rsid w:val="5E336F39"/>
    <w:rsid w:val="5F5F081B"/>
    <w:rsid w:val="5FF20BF7"/>
    <w:rsid w:val="60205F90"/>
    <w:rsid w:val="608E2F6C"/>
    <w:rsid w:val="60EC3C37"/>
    <w:rsid w:val="61A058F7"/>
    <w:rsid w:val="62082A4E"/>
    <w:rsid w:val="623C28E2"/>
    <w:rsid w:val="62D53BF4"/>
    <w:rsid w:val="631E0963"/>
    <w:rsid w:val="63483DC6"/>
    <w:rsid w:val="63610183"/>
    <w:rsid w:val="637947A5"/>
    <w:rsid w:val="63D0005D"/>
    <w:rsid w:val="64B7605C"/>
    <w:rsid w:val="652564C3"/>
    <w:rsid w:val="652B096E"/>
    <w:rsid w:val="658B678B"/>
    <w:rsid w:val="65E73B66"/>
    <w:rsid w:val="66131984"/>
    <w:rsid w:val="66A362FF"/>
    <w:rsid w:val="66E16576"/>
    <w:rsid w:val="66E33C2D"/>
    <w:rsid w:val="67427945"/>
    <w:rsid w:val="67E04310"/>
    <w:rsid w:val="68121D83"/>
    <w:rsid w:val="68233C28"/>
    <w:rsid w:val="6906197A"/>
    <w:rsid w:val="690C637F"/>
    <w:rsid w:val="692A17F3"/>
    <w:rsid w:val="69C27972"/>
    <w:rsid w:val="69F231F2"/>
    <w:rsid w:val="6A2E4954"/>
    <w:rsid w:val="6A6E396D"/>
    <w:rsid w:val="6AC9421D"/>
    <w:rsid w:val="6AD94F47"/>
    <w:rsid w:val="6C4C2667"/>
    <w:rsid w:val="6CDA49A3"/>
    <w:rsid w:val="6CF36133"/>
    <w:rsid w:val="6D27071C"/>
    <w:rsid w:val="6D2C0194"/>
    <w:rsid w:val="6DD1076A"/>
    <w:rsid w:val="6DDE3DAF"/>
    <w:rsid w:val="6E1735DC"/>
    <w:rsid w:val="6E2211D6"/>
    <w:rsid w:val="6EBD64D7"/>
    <w:rsid w:val="6FBA4BA1"/>
    <w:rsid w:val="70E13200"/>
    <w:rsid w:val="714420CD"/>
    <w:rsid w:val="715F4C2D"/>
    <w:rsid w:val="72024D75"/>
    <w:rsid w:val="724530CF"/>
    <w:rsid w:val="72CB7F46"/>
    <w:rsid w:val="73121CB7"/>
    <w:rsid w:val="745C121D"/>
    <w:rsid w:val="755C4C37"/>
    <w:rsid w:val="761A2E8D"/>
    <w:rsid w:val="768D7CD7"/>
    <w:rsid w:val="76E73D51"/>
    <w:rsid w:val="774D1291"/>
    <w:rsid w:val="776C25E5"/>
    <w:rsid w:val="776C3E9D"/>
    <w:rsid w:val="77B7237F"/>
    <w:rsid w:val="78271104"/>
    <w:rsid w:val="784B7472"/>
    <w:rsid w:val="78ED42D2"/>
    <w:rsid w:val="78F82ED4"/>
    <w:rsid w:val="7925703F"/>
    <w:rsid w:val="7962750F"/>
    <w:rsid w:val="796B0021"/>
    <w:rsid w:val="79701A60"/>
    <w:rsid w:val="797218E2"/>
    <w:rsid w:val="7A4205D3"/>
    <w:rsid w:val="7AB05BBC"/>
    <w:rsid w:val="7AB44E97"/>
    <w:rsid w:val="7AB94AC3"/>
    <w:rsid w:val="7AE36910"/>
    <w:rsid w:val="7B940404"/>
    <w:rsid w:val="7BF8597E"/>
    <w:rsid w:val="7C12395E"/>
    <w:rsid w:val="7C14711B"/>
    <w:rsid w:val="7C1B1C57"/>
    <w:rsid w:val="7C312516"/>
    <w:rsid w:val="7C45431D"/>
    <w:rsid w:val="7C4A144B"/>
    <w:rsid w:val="7C5E2D26"/>
    <w:rsid w:val="7C6B6B6B"/>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996</Words>
  <Characters>5682</Characters>
  <Lines>47</Lines>
  <Paragraphs>13</Paragraphs>
  <TotalTime>0</TotalTime>
  <ScaleCrop>false</ScaleCrop>
  <LinksUpToDate>false</LinksUpToDate>
  <CharactersWithSpaces>6665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2021-10-22T14:01:20Z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